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976"/>
        <w:gridCol w:w="4513"/>
        <w:gridCol w:w="173"/>
        <w:gridCol w:w="172"/>
        <w:gridCol w:w="4398"/>
      </w:tblGrid>
      <w:tr w:rsidR="00A17AE4" w:rsidTr="20B0F52E"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0B0F52E"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0B0F52E"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5B4672" w14:paraId="4F9450A3" w14:textId="13776391">
            <w:r>
              <w:rPr>
                <w:lang w:val="it-IT"/>
              </w:rPr>
              <w:t>Beccar Varela</w:t>
            </w:r>
            <w:r w:rsidRPr="00960D32" w:rsidR="00960D32">
              <w:t> </w:t>
            </w:r>
          </w:p>
        </w:tc>
      </w:tr>
      <w:tr w:rsidR="00093CA9" w:rsidTr="20B0F52E"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0B0F52E"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5B4672" w14:paraId="624F8F71" w14:textId="4EEBEEAC">
            <w:r>
              <w:t>Argentina</w:t>
            </w:r>
          </w:p>
        </w:tc>
      </w:tr>
      <w:tr w:rsidRPr="00E50B13" w:rsidR="00093CA9" w:rsidTr="20B0F52E"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0B0F52E"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Pr="00960D32" w:rsidR="00093CA9" w:rsidP="002C22F1" w:rsidRDefault="00D17CC2" w14:paraId="313A697B" w14:textId="742FF13F">
            <w:pPr>
              <w:spacing w:before="0" w:after="0"/>
              <w:rPr>
                <w:rFonts w:cstheme="minorHAnsi"/>
                <w:color w:val="333333"/>
              </w:rPr>
            </w:pPr>
            <w:r w:rsidRPr="00D17CC2">
              <w:rPr>
                <w:rFonts w:cstheme="minorHAnsi"/>
                <w:color w:val="333333"/>
              </w:rPr>
              <w:t>Energy Resolution 05/96 - Approve Rules and Procedures for the Abandonment of Hydrocarbon Wells (</w:t>
            </w:r>
            <w:proofErr w:type="spellStart"/>
            <w:r w:rsidRPr="00D17CC2">
              <w:rPr>
                <w:rFonts w:cstheme="minorHAnsi"/>
                <w:color w:val="333333"/>
              </w:rPr>
              <w:t>Resolución</w:t>
            </w:r>
            <w:proofErr w:type="spellEnd"/>
            <w:r w:rsidRPr="00D17CC2">
              <w:rPr>
                <w:rFonts w:cstheme="minorHAnsi"/>
                <w:color w:val="333333"/>
              </w:rPr>
              <w:t xml:space="preserve"> 5/96 - </w:t>
            </w:r>
            <w:proofErr w:type="spellStart"/>
            <w:r w:rsidRPr="00D17CC2">
              <w:rPr>
                <w:rFonts w:cstheme="minorHAnsi"/>
                <w:color w:val="333333"/>
              </w:rPr>
              <w:t>Apruébanse</w:t>
            </w:r>
            <w:proofErr w:type="spellEnd"/>
            <w:r w:rsidRPr="00D17CC2">
              <w:rPr>
                <w:rFonts w:cstheme="minorHAnsi"/>
                <w:color w:val="333333"/>
              </w:rPr>
              <w:t xml:space="preserve"> Normas y </w:t>
            </w:r>
            <w:proofErr w:type="spellStart"/>
            <w:r w:rsidRPr="00D17CC2">
              <w:rPr>
                <w:rFonts w:cstheme="minorHAnsi"/>
                <w:color w:val="333333"/>
              </w:rPr>
              <w:t>Procedimientos</w:t>
            </w:r>
            <w:proofErr w:type="spellEnd"/>
            <w:r w:rsidRPr="00D17CC2">
              <w:rPr>
                <w:rFonts w:cstheme="minorHAnsi"/>
                <w:color w:val="333333"/>
              </w:rPr>
              <w:t xml:space="preserve"> para </w:t>
            </w:r>
            <w:proofErr w:type="spellStart"/>
            <w:r w:rsidRPr="00D17CC2">
              <w:rPr>
                <w:rFonts w:cstheme="minorHAnsi"/>
                <w:color w:val="333333"/>
              </w:rPr>
              <w:t>el</w:t>
            </w:r>
            <w:proofErr w:type="spellEnd"/>
            <w:r w:rsidRPr="00D17CC2">
              <w:rPr>
                <w:rFonts w:cstheme="minorHAnsi"/>
                <w:color w:val="333333"/>
              </w:rPr>
              <w:t xml:space="preserve"> </w:t>
            </w:r>
            <w:proofErr w:type="spellStart"/>
            <w:r w:rsidRPr="00D17CC2">
              <w:rPr>
                <w:rFonts w:cstheme="minorHAnsi"/>
                <w:color w:val="333333"/>
              </w:rPr>
              <w:t>abandono</w:t>
            </w:r>
            <w:proofErr w:type="spellEnd"/>
            <w:r w:rsidRPr="00D17CC2">
              <w:rPr>
                <w:rFonts w:cstheme="minorHAnsi"/>
                <w:color w:val="333333"/>
              </w:rPr>
              <w:t xml:space="preserve"> de </w:t>
            </w:r>
            <w:proofErr w:type="spellStart"/>
            <w:r w:rsidRPr="00D17CC2">
              <w:rPr>
                <w:rFonts w:cstheme="minorHAnsi"/>
                <w:color w:val="333333"/>
              </w:rPr>
              <w:t>pozos</w:t>
            </w:r>
            <w:proofErr w:type="spellEnd"/>
            <w:r w:rsidRPr="00D17CC2">
              <w:rPr>
                <w:rFonts w:cstheme="minorHAnsi"/>
                <w:color w:val="333333"/>
              </w:rPr>
              <w:t xml:space="preserve"> de </w:t>
            </w:r>
            <w:proofErr w:type="spellStart"/>
            <w:r w:rsidRPr="00D17CC2">
              <w:rPr>
                <w:rFonts w:cstheme="minorHAnsi"/>
                <w:color w:val="333333"/>
              </w:rPr>
              <w:t>hidrocarburos</w:t>
            </w:r>
            <w:proofErr w:type="spellEnd"/>
            <w:r w:rsidRPr="00D17CC2">
              <w:rPr>
                <w:rFonts w:cstheme="minorHAnsi"/>
                <w:color w:val="333333"/>
              </w:rPr>
              <w:t>)</w:t>
            </w:r>
          </w:p>
        </w:tc>
      </w:tr>
      <w:tr w:rsidR="00093CA9" w:rsidTr="20B0F52E"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0B0F52E"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15F72A39">
            <w:hyperlink r:id="R60d7bd6dd8594b5d">
              <w:r w:rsidRPr="79F65D89" w:rsidR="217EAE3F">
                <w:rPr>
                  <w:rStyle w:val="Hipervnculo"/>
                </w:rPr>
                <w:t>https://web.archive.org/web/20250701182710/https://www.argentina.gob.ar/normativa/nacional/resolución-5-1996-31996/texto</w:t>
              </w:r>
            </w:hyperlink>
            <w:r w:rsidR="217EAE3F">
              <w:rPr/>
              <w:t xml:space="preserve"> </w:t>
            </w:r>
          </w:p>
        </w:tc>
      </w:tr>
      <w:tr w:rsidRPr="005A2023" w:rsidR="00093CA9" w:rsidTr="20B0F52E"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0B0F52E"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4DA7FE74"/>
        </w:tc>
      </w:tr>
      <w:tr w:rsidR="00093CA9" w:rsidTr="20B0F52E"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426048AF"/>
        </w:tc>
      </w:tr>
      <w:tr w:rsidR="00093CA9" w:rsidTr="20B0F52E"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20B0F52E"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0612631F"/>
        </w:tc>
      </w:tr>
      <w:tr w:rsidR="00093CA9" w:rsidTr="20B0F52E"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ED969AE"/>
        </w:tc>
      </w:tr>
      <w:tr w:rsidR="00093CA9" w:rsidTr="20B0F52E"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6F1DDC" w14:paraId="791241EA" w14:textId="0A714C1B">
            <w:r>
              <w:t>X</w:t>
            </w:r>
          </w:p>
        </w:tc>
      </w:tr>
      <w:tr w:rsidR="00093CA9" w:rsidTr="20B0F52E"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w:t>
            </w:r>
            <w:proofErr w:type="gramEnd"/>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20B0F52E"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361DED" w14:paraId="18257824" w14:textId="73DFB186">
            <w:r w:rsidR="00361DED">
              <w:rPr/>
              <w:t xml:space="preserve">The main goal of </w:t>
            </w:r>
            <w:r w:rsidR="00361DED">
              <w:rPr/>
              <w:t>the policy tool</w:t>
            </w:r>
            <w:r w:rsidR="00361DED">
              <w:rPr/>
              <w:t xml:space="preserve"> is to </w:t>
            </w:r>
            <w:r w:rsidR="00361DED">
              <w:rPr/>
              <w:t>establish</w:t>
            </w:r>
            <w:r w:rsidR="00361DED">
              <w:rPr/>
              <w:t xml:space="preserve"> technical standards and procedures for the safe and environmentally responsible abandonment of hydrocarbon wells. This regulation requires operators to properly seal inactive or abandoned wells—major potential sources of uncontrolled methane emissions—using specific cementing and verification techniques. By mandating well categorization, prioritization, supervision, and reporting, the policy directly addresses the risk of methane leaks, supporting climate and environmental protection efforts in the fossil fuel sector.</w:t>
            </w:r>
          </w:p>
        </w:tc>
      </w:tr>
      <w:tr w:rsidR="00093CA9" w:rsidTr="20B0F52E"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0B0F52E"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B77FD4" w14:paraId="54354EEF" w14:textId="3649351B">
            <w:r>
              <w:t>X</w:t>
            </w:r>
          </w:p>
        </w:tc>
      </w:tr>
      <w:tr w:rsidR="00093CA9" w:rsidTr="20B0F52E"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20B0F52E"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20B0F52E"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20B0F52E"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20B0F52E"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20B0F52E"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0B0F52E"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20B0F52E"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0B0F52E"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B77FD4" w14:paraId="22A2FF1A" w14:textId="3CDA1FE7">
            <w:pPr>
              <w:rPr>
                <w:color w:val="000000" w:themeColor="text1"/>
              </w:rPr>
            </w:pPr>
            <w:r>
              <w:rPr>
                <w:color w:val="000000" w:themeColor="text1"/>
              </w:rPr>
              <w:t>1996</w:t>
            </w:r>
          </w:p>
        </w:tc>
      </w:tr>
      <w:tr w:rsidR="00093CA9" w:rsidTr="20B0F52E"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0B0F52E"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B77FD4" w14:paraId="5AD2325B" w14:textId="17B511DF">
            <w:pPr>
              <w:rPr>
                <w:color w:val="000000" w:themeColor="text1"/>
              </w:rPr>
            </w:pPr>
            <w:r>
              <w:rPr>
                <w:color w:val="000000" w:themeColor="text1"/>
              </w:rPr>
              <w:t>1996</w:t>
            </w:r>
          </w:p>
        </w:tc>
      </w:tr>
      <w:tr w:rsidR="00093CA9" w:rsidTr="20B0F52E"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0B0F52E"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20B0F52E"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0B0F52E"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20B0F52E" w14:paraId="0BDEA28A" w14:textId="77777777">
        <w:tc>
          <w:tcPr>
            <w:tcW w:w="976" w:type="dxa"/>
            <w:tcMar/>
            <w:vAlign w:val="center"/>
          </w:tcPr>
          <w:p w:rsidRPr="00BA1D39" w:rsidR="00093CA9" w:rsidP="00093CA9" w:rsidRDefault="00093CA9" w14:paraId="2B1BB6DA" w14:textId="77777777">
            <w:pPr>
              <w:rPr>
                <w:b/>
                <w:bCs/>
              </w:rPr>
            </w:pPr>
            <w:r w:rsidRPr="00BA1D39">
              <w:rPr>
                <w:b/>
                <w:bCs/>
              </w:rPr>
              <w:lastRenderedPageBreak/>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0B0F52E"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361DED" w14:paraId="7961F236" w14:textId="714DB6DC">
            <w:r>
              <w:t>Secretariat of Energy</w:t>
            </w:r>
          </w:p>
        </w:tc>
      </w:tr>
      <w:tr w:rsidRPr="006B7B0D" w:rsidR="00093CA9" w:rsidTr="20B0F52E"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0B0F52E"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77777777"/>
        </w:tc>
      </w:tr>
      <w:tr w:rsidRPr="006B7B0D" w:rsidR="00093CA9" w:rsidTr="20B0F52E"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0B0F52E"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20B0F52E"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20B0F52E"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20B0F52E"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361DED" w14:paraId="6DCCE4F4" w14:textId="0F687192">
            <w:r>
              <w:t>X</w:t>
            </w:r>
          </w:p>
        </w:tc>
      </w:tr>
      <w:tr w:rsidRPr="006B7B0D" w:rsidR="00093CA9" w:rsidTr="20B0F52E"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0B0F52E"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20B0F52E"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0B0F52E"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20B0F52E"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20B0F52E"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20B0F52E"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20B0F52E"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0B0F52E"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20B0F52E"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0B0F52E"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20B0F52E"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20B0F52E"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20B0F52E"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20B0F52E"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0B0F52E"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20B0F52E"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0B0F52E"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20B0F52E"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20B0F52E"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20B0F52E"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20B0F52E"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0B0F52E"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20B0F52E" w14:paraId="357CC0D4" w14:textId="77777777">
        <w:trPr>
          <w:trHeight w:val="63"/>
        </w:trPr>
        <w:tc>
          <w:tcPr>
            <w:tcW w:w="976" w:type="dxa"/>
            <w:tcMar/>
            <w:vAlign w:val="center"/>
          </w:tcPr>
          <w:p w:rsidRPr="006B7B0D" w:rsidR="00093CA9" w:rsidP="00093CA9" w:rsidRDefault="00093CA9" w14:paraId="4D023F64" w14:textId="77777777">
            <w:r w:rsidRPr="006B7B0D">
              <w:lastRenderedPageBreak/>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0B0F52E"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20B0F52E" w14:paraId="40A766AA" w14:textId="77777777">
        <w:trPr>
          <w:trHeight w:val="63"/>
        </w:trPr>
        <w:tc>
          <w:tcPr>
            <w:tcW w:w="976" w:type="dxa"/>
            <w:tcMar/>
            <w:vAlign w:val="center"/>
          </w:tcPr>
          <w:p w:rsidRPr="006B7B0D" w:rsidR="00093CA9" w:rsidP="00093CA9" w:rsidRDefault="00093CA9" w14:paraId="3F2E631F"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20B0F52E"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20B0F52E"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20B0F52E"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0B0F52E"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20B0F52E"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0B0F52E"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20B0F52E"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A56F2D" w14:paraId="54F7EBC8" w14:textId="735F40A9">
            <w:r>
              <w:t>X</w:t>
            </w:r>
          </w:p>
        </w:tc>
      </w:tr>
      <w:tr w:rsidR="00093CA9" w:rsidTr="20B0F52E"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0B0F52E"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A56F2D" w:rsidRDefault="00A56F2D" w14:paraId="2C2128DB" w14:textId="101623F0">
            <w:pPr>
              <w:keepNext/>
              <w:rPr>
                <w:color w:val="000000" w:themeColor="text1"/>
              </w:rPr>
            </w:pPr>
            <w:r>
              <w:rPr>
                <w:color w:val="000000" w:themeColor="text1"/>
              </w:rPr>
              <w:t>It e</w:t>
            </w:r>
            <w:r w:rsidRPr="00A56F2D">
              <w:rPr>
                <w:color w:val="000000" w:themeColor="text1"/>
              </w:rPr>
              <w:t xml:space="preserve">stablishes several monitoring and enforcement mechanisms to oversee the implementation of well abandonment procedures. Operators are required to submit annual work schedules and detailed reports to the regulatory authority. Specifically, each year before January 31, operators must present a schedule of planned abandonment activities, including the number and location of wells to be abandoned, categorized by type and priority. Additionally, by January 31 of each year, operators must submit a final report detailing the abandonment activities carried out in the previous calendar year, including the type of abandonment performed and the final status of each well. All original documentation related to each well must be maintained and transferred to the authority at the end of the concession. The regulation also allows for on-site inspections by the regulatory authority or provincial authorities, who verify compliance and document any observations. However, the policy does not mention open data platforms or public dashboards; the reporting and oversight mechanisms are directed toward the regulatory authority rather than the </w:t>
            </w:r>
            <w:proofErr w:type="gramStart"/>
            <w:r w:rsidRPr="00A56F2D">
              <w:rPr>
                <w:color w:val="000000" w:themeColor="text1"/>
              </w:rPr>
              <w:t>general public</w:t>
            </w:r>
            <w:proofErr w:type="gramEnd"/>
            <w:r w:rsidRPr="00A56F2D">
              <w:rPr>
                <w:color w:val="000000" w:themeColor="text1"/>
              </w:rPr>
              <w:t>.</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2EF263E4"/>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23EEE963"/>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1F7C405A"/>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CBD77CF"/>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0BAA4C78"/>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1F444C45"/>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1A2EC125"/>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EB46643"/>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39C3C632"/>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26974C4D"/>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1556DB2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4022FF7A"/>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19AFB2A8"/>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472FC6" w:rsidRDefault="00472FC6" w14:paraId="1A714ED2" w14:textId="40B52A44">
            <w:r>
              <w:t>The policy specifically targets exploration permit holders and exploitation concessionaires in the hydrocarbon sector, regardless of their ownership structure (private, state-owned, or SME). These are the entities with direct operational responsibility for hydrocarbon wells.</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465878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460C7412"/>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66CDBB51"/>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7D97F806"/>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4A130A12"/>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5776332C"/>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6C9608A2"/>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52D60D09"/>
        </w:tc>
      </w:tr>
      <w:tr w:rsidR="00B536E6" w:rsidTr="00DD3144" w14:paraId="27FA2E4D" w14:textId="77777777">
        <w:trPr>
          <w:trHeight w:val="300"/>
        </w:trPr>
        <w:tc>
          <w:tcPr>
            <w:tcW w:w="1066" w:type="dxa"/>
            <w:vAlign w:val="center"/>
          </w:tcPr>
          <w:p w:rsidR="00B536E6" w:rsidP="00DD3144" w:rsidRDefault="00AD1216" w14:paraId="0B3342B1" w14:textId="4FF0AF4A">
            <w:r>
              <w:lastRenderedPageBreak/>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78BEF88B"/>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5151EA60"/>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4E9944B5"/>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8EDB9C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02FDFCD1"/>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04F709F"/>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64D87D65"/>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62A067F0"/>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3EC05CC5"/>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74B3D1B2"/>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31809B97"/>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2DDDC859"/>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305BC5A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4BBAE199"/>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DC6FAA" w14:paraId="020308A1" w14:textId="196FDB94">
            <w:r>
              <w:t>The policy tool applies mandatorily to the “Mining and quarrying” sector, specifically to the hydrocarbon exploration and exploitation sub-sector (i.e.: oil and gas).</w:t>
            </w:r>
          </w:p>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lastRenderedPageBreak/>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 xml:space="preserve">Minimum assets (Enter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5B6D986D"/>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167D7261"/>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6599B27A">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5460D7D9">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22457E65">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lastRenderedPageBreak/>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lastRenderedPageBreak/>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lastRenderedPageBreak/>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lastRenderedPageBreak/>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lastRenderedPageBreak/>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lastRenderedPageBreak/>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lastRenderedPageBreak/>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20B0F52E"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20B0F52E"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20B0F52E"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4259E9" w14:paraId="7C20DA9F" w14:textId="5C790F15">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20B0F52E"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4259E9" w14:paraId="780D49EB" w14:textId="2B447E4F">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20B0F52E"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4259E9" w14:paraId="022FECD4" w14:textId="7DAE62D4">
            <w:pPr>
              <w:rPr>
                <w:rFonts w:ascii="Calibri" w:hAnsi="Calibri" w:cs="Calibri"/>
              </w:rPr>
            </w:pPr>
            <w:r>
              <w:rPr>
                <w:rFonts w:ascii="Calibri" w:hAnsi="Calibri" w:cs="Calibri"/>
              </w:rPr>
              <w:t>X</w:t>
            </w:r>
          </w:p>
        </w:tc>
      </w:tr>
      <w:tr w:rsidRPr="00CF2E7C" w:rsidR="002F0752" w:rsidTr="20B0F52E"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4259E9" w14:paraId="6A6EA413" w14:textId="26125FD2">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20B0F52E"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4259E9" w14:paraId="2A71BA61" w14:textId="29F2B80F">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20B0F52E"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5F2DC8" w14:paraId="4C911DE4" w14:textId="1B43B7EF">
            <w:pPr>
              <w:rPr>
                <w:rFonts w:ascii="Calibri" w:hAnsi="Calibri" w:cs="Calibri"/>
              </w:rPr>
            </w:pPr>
            <w:r>
              <w:rPr>
                <w:rFonts w:ascii="Calibri" w:hAnsi="Calibri" w:cs="Calibri"/>
              </w:rPr>
              <w:t>X</w:t>
            </w:r>
          </w:p>
        </w:tc>
      </w:tr>
      <w:tr w:rsidRPr="00CF2E7C" w:rsidR="002F0752" w:rsidTr="20B0F52E"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5F2DC8" w14:paraId="77ADA4C2" w14:textId="0FF415EE">
            <w:pPr>
              <w:rPr>
                <w:rFonts w:ascii="Calibri" w:hAnsi="Calibri" w:cs="Calibri"/>
              </w:rPr>
            </w:pPr>
            <w:r>
              <w:rPr>
                <w:rFonts w:ascii="Calibri" w:hAnsi="Calibri" w:cs="Calibri"/>
              </w:rPr>
              <w:t>X</w:t>
            </w:r>
          </w:p>
        </w:tc>
      </w:tr>
      <w:tr w:rsidRPr="00CF2E7C" w:rsidR="002F0752" w:rsidTr="20B0F52E"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5F2DC8" w14:paraId="5D40C8F3" w14:textId="21FA1797">
            <w:pPr>
              <w:rPr>
                <w:rFonts w:ascii="Calibri" w:hAnsi="Calibri" w:cs="Calibri"/>
              </w:rPr>
            </w:pPr>
            <w:r>
              <w:rPr>
                <w:rFonts w:ascii="Calibri" w:hAnsi="Calibri" w:cs="Calibri"/>
              </w:rPr>
              <w:t>X</w:t>
            </w:r>
          </w:p>
        </w:tc>
      </w:tr>
      <w:tr w:rsidRPr="00CF2E7C" w:rsidR="002F0752" w:rsidTr="20B0F52E"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5F2DC8" w14:paraId="4880370C" w14:textId="1267C450">
            <w:pPr>
              <w:rPr>
                <w:rFonts w:ascii="Calibri" w:hAnsi="Calibri" w:cs="Calibri"/>
              </w:rPr>
            </w:pPr>
            <w:r>
              <w:rPr>
                <w:rFonts w:ascii="Calibri" w:hAnsi="Calibri" w:cs="Calibri"/>
              </w:rPr>
              <w:t>X</w:t>
            </w:r>
          </w:p>
        </w:tc>
      </w:tr>
      <w:tr w:rsidRPr="00CF2E7C" w:rsidR="002F0752" w:rsidTr="20B0F52E"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5F2DC8" w14:paraId="7F217E14" w14:textId="31E2FD57">
            <w:pPr>
              <w:rPr>
                <w:rFonts w:ascii="Calibri" w:hAnsi="Calibri" w:cs="Calibri"/>
              </w:rPr>
            </w:pPr>
            <w:r>
              <w:rPr>
                <w:rFonts w:ascii="Calibri" w:hAnsi="Calibri" w:cs="Calibri"/>
              </w:rPr>
              <w:t>X</w:t>
            </w:r>
          </w:p>
        </w:tc>
      </w:tr>
      <w:tr w:rsidRPr="00CF2E7C" w:rsidR="002F0752" w:rsidTr="20B0F52E"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5F2DC8" w14:paraId="13076D97" w14:textId="6C1DC8FF">
            <w:pPr>
              <w:rPr>
                <w:rFonts w:ascii="Calibri" w:hAnsi="Calibri" w:cs="Calibri"/>
              </w:rPr>
            </w:pPr>
            <w:r>
              <w:rPr>
                <w:rFonts w:ascii="Calibri" w:hAnsi="Calibri" w:cs="Calibri"/>
              </w:rPr>
              <w:t>X</w:t>
            </w:r>
          </w:p>
        </w:tc>
      </w:tr>
      <w:tr w:rsidRPr="00CF2E7C" w:rsidR="002F0752" w:rsidTr="20B0F52E"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5F2DC8" w14:paraId="0DE8CA67" w14:textId="4DB4C909">
            <w:pPr>
              <w:rPr>
                <w:rFonts w:ascii="Calibri" w:hAnsi="Calibri" w:cs="Calibri"/>
              </w:rPr>
            </w:pPr>
            <w:r>
              <w:rPr>
                <w:rFonts w:ascii="Calibri" w:hAnsi="Calibri" w:cs="Calibri"/>
              </w:rPr>
              <w:t>X</w:t>
            </w:r>
          </w:p>
        </w:tc>
      </w:tr>
      <w:tr w:rsidRPr="00CF2E7C" w:rsidR="002F0752" w:rsidTr="20B0F52E"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5F2DC8" w14:paraId="75D69809" w14:textId="2B91356A">
            <w:pPr>
              <w:rPr>
                <w:rFonts w:ascii="Calibri" w:hAnsi="Calibri" w:cs="Calibri"/>
              </w:rPr>
            </w:pPr>
            <w:r>
              <w:rPr>
                <w:rFonts w:ascii="Calibri" w:hAnsi="Calibri" w:cs="Calibri"/>
              </w:rPr>
              <w:t>X</w:t>
            </w:r>
          </w:p>
        </w:tc>
      </w:tr>
      <w:tr w:rsidRPr="00CF2E7C" w:rsidR="002F0752" w:rsidTr="20B0F52E"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20B0F52E"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20B0F52E"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20B0F52E"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20B0F52E"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20B0F52E"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20B0F52E"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20B0F52E"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20B0F52E"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20B0F52E"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20B0F52E"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20B0F52E"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20B0F52E"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20B0F52E"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20B0F52E"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F27D5A" w14:paraId="4926C020" w14:textId="17568CAE">
            <w:pPr>
              <w:rPr>
                <w:rFonts w:ascii="Calibri" w:hAnsi="Calibri" w:cs="Calibri"/>
              </w:rPr>
            </w:pPr>
            <w:r>
              <w:rPr>
                <w:rFonts w:ascii="Calibri" w:hAnsi="Calibri" w:cs="Calibri"/>
              </w:rPr>
              <w:t>X</w:t>
            </w:r>
          </w:p>
        </w:tc>
      </w:tr>
      <w:tr w:rsidRPr="00CF2E7C" w:rsidR="002F0752" w:rsidTr="20B0F52E"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F27D5A" w14:paraId="29F72389" w14:textId="44E4C496">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20B0F52E"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F27D5A" w14:paraId="4D2CB852" w14:textId="6E5FAF0C">
            <w:pPr>
              <w:rPr>
                <w:rFonts w:ascii="Calibri" w:hAnsi="Calibri" w:cs="Calibri"/>
              </w:rPr>
            </w:pPr>
            <w:r>
              <w:rPr>
                <w:rFonts w:ascii="Calibri" w:hAnsi="Calibri" w:cs="Calibri"/>
              </w:rPr>
              <w:t>X</w:t>
            </w:r>
          </w:p>
        </w:tc>
      </w:tr>
      <w:tr w:rsidRPr="00CF2E7C" w:rsidR="002F0752" w:rsidTr="20B0F52E"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F27D5A" w14:paraId="6EAFCDBE" w14:textId="67CB5645">
            <w:pPr>
              <w:rPr>
                <w:rFonts w:ascii="Calibri" w:hAnsi="Calibri" w:cs="Calibri"/>
              </w:rPr>
            </w:pPr>
            <w:r>
              <w:rPr>
                <w:rFonts w:ascii="Calibri" w:hAnsi="Calibri" w:cs="Calibri"/>
              </w:rPr>
              <w:t>X</w:t>
            </w:r>
          </w:p>
        </w:tc>
      </w:tr>
      <w:tr w:rsidRPr="00CF2E7C" w:rsidR="002F0752" w:rsidTr="20B0F52E"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F27D5A" w14:paraId="0965DE6F" w14:textId="7EB97918">
            <w:pPr>
              <w:rPr>
                <w:rFonts w:ascii="Calibri" w:hAnsi="Calibri" w:cs="Calibri"/>
              </w:rPr>
            </w:pPr>
            <w:r>
              <w:rPr>
                <w:rFonts w:ascii="Calibri" w:hAnsi="Calibri" w:cs="Calibri"/>
              </w:rPr>
              <w:t>X</w:t>
            </w:r>
          </w:p>
        </w:tc>
      </w:tr>
      <w:tr w:rsidRPr="00CF2E7C" w:rsidR="002F0752" w:rsidTr="20B0F52E"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F27D5A" w14:paraId="20E8230A" w14:textId="2C677A5E">
            <w:pPr>
              <w:rPr>
                <w:rFonts w:ascii="Calibri" w:hAnsi="Calibri" w:cs="Calibri"/>
              </w:rPr>
            </w:pPr>
            <w:r>
              <w:rPr>
                <w:rFonts w:ascii="Calibri" w:hAnsi="Calibri" w:cs="Calibri"/>
              </w:rPr>
              <w:t>X</w:t>
            </w:r>
          </w:p>
        </w:tc>
      </w:tr>
      <w:tr w:rsidRPr="00CF2E7C" w:rsidR="002F0752" w:rsidTr="20B0F52E"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F27D5A" w14:paraId="115017E4" w14:textId="18CE2A2A">
            <w:pPr>
              <w:rPr>
                <w:rFonts w:ascii="Calibri" w:hAnsi="Calibri" w:cs="Calibri"/>
              </w:rPr>
            </w:pPr>
            <w:r>
              <w:rPr>
                <w:rFonts w:ascii="Calibri" w:hAnsi="Calibri" w:cs="Calibri"/>
              </w:rPr>
              <w:t>X</w:t>
            </w:r>
          </w:p>
        </w:tc>
      </w:tr>
      <w:tr w:rsidRPr="00CF2E7C" w:rsidR="002F0752" w:rsidTr="20B0F52E"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F27D5A" w14:paraId="2557F8D6" w14:textId="383441B5">
            <w:pPr>
              <w:rPr>
                <w:rFonts w:ascii="Calibri" w:hAnsi="Calibri" w:cs="Calibri"/>
              </w:rPr>
            </w:pPr>
            <w:r>
              <w:rPr>
                <w:rFonts w:ascii="Calibri" w:hAnsi="Calibri" w:cs="Calibri"/>
              </w:rPr>
              <w:t>X</w:t>
            </w:r>
          </w:p>
        </w:tc>
      </w:tr>
      <w:tr w:rsidRPr="00CF2E7C" w:rsidR="002F0752" w:rsidTr="20B0F52E"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F27D5A" w14:paraId="470A8AA2" w14:textId="47C99C4A">
            <w:pPr>
              <w:rPr>
                <w:rFonts w:ascii="Calibri" w:hAnsi="Calibri" w:cs="Calibri"/>
              </w:rPr>
            </w:pPr>
            <w:r>
              <w:rPr>
                <w:rFonts w:ascii="Calibri" w:hAnsi="Calibri" w:cs="Calibri"/>
              </w:rPr>
              <w:t>X</w:t>
            </w:r>
          </w:p>
        </w:tc>
      </w:tr>
      <w:tr w:rsidRPr="00CF2E7C" w:rsidR="002F0752" w:rsidTr="20B0F52E"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F27D5A" w14:paraId="26AE5AF5" w14:textId="1C7D8D10">
            <w:pPr>
              <w:rPr>
                <w:rFonts w:ascii="Calibri" w:hAnsi="Calibri" w:cs="Calibri"/>
              </w:rPr>
            </w:pPr>
            <w:r>
              <w:rPr>
                <w:rFonts w:ascii="Calibri" w:hAnsi="Calibri" w:cs="Calibri"/>
              </w:rPr>
              <w:t>X</w:t>
            </w:r>
          </w:p>
        </w:tc>
      </w:tr>
      <w:tr w:rsidRPr="00CF2E7C" w:rsidR="002F0752" w:rsidTr="20B0F52E"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F27D5A" w14:paraId="0FD0E0AD" w14:textId="179971E9">
            <w:pPr>
              <w:rPr>
                <w:rFonts w:ascii="Calibri" w:hAnsi="Calibri" w:cs="Calibri"/>
              </w:rPr>
            </w:pPr>
            <w:r>
              <w:rPr>
                <w:rFonts w:ascii="Calibri" w:hAnsi="Calibri" w:cs="Calibri"/>
              </w:rPr>
              <w:t>X</w:t>
            </w:r>
          </w:p>
        </w:tc>
      </w:tr>
      <w:tr w:rsidRPr="00CF2E7C" w:rsidR="002F0752" w:rsidTr="20B0F52E"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F27D5A" w14:paraId="529888B7" w14:textId="74B3BBFA">
            <w:pPr>
              <w:rPr>
                <w:rFonts w:ascii="Calibri" w:hAnsi="Calibri" w:cs="Calibri"/>
              </w:rPr>
            </w:pPr>
            <w:r>
              <w:rPr>
                <w:rFonts w:ascii="Calibri" w:hAnsi="Calibri" w:cs="Calibri"/>
              </w:rPr>
              <w:t>X</w:t>
            </w:r>
          </w:p>
        </w:tc>
      </w:tr>
      <w:tr w:rsidRPr="00CF2E7C" w:rsidR="002F0752" w:rsidTr="20B0F52E"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F27D5A" w14:paraId="19E03FB1" w14:textId="2E3F58D6">
            <w:pPr>
              <w:rPr>
                <w:rFonts w:ascii="Calibri" w:hAnsi="Calibri" w:cs="Calibri"/>
              </w:rPr>
            </w:pPr>
            <w:r>
              <w:rPr>
                <w:rFonts w:ascii="Calibri" w:hAnsi="Calibri" w:cs="Calibri"/>
              </w:rPr>
              <w:t>X</w:t>
            </w:r>
          </w:p>
        </w:tc>
      </w:tr>
      <w:tr w:rsidRPr="00CF2E7C" w:rsidR="002F0752" w:rsidTr="20B0F52E"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F27D5A" w14:paraId="75B2005F" w14:textId="4F3FDCB0">
            <w:pPr>
              <w:rPr>
                <w:rFonts w:ascii="Calibri" w:hAnsi="Calibri" w:cs="Calibri"/>
              </w:rPr>
            </w:pPr>
            <w:r>
              <w:rPr>
                <w:rFonts w:ascii="Calibri" w:hAnsi="Calibri" w:cs="Calibri"/>
              </w:rPr>
              <w:t>X</w:t>
            </w:r>
          </w:p>
        </w:tc>
      </w:tr>
      <w:tr w:rsidRPr="00CF2E7C" w:rsidR="002F0752" w:rsidTr="20B0F52E"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F27D5A" w14:paraId="7ABEEE82" w14:textId="600228B2">
            <w:pPr>
              <w:rPr>
                <w:rFonts w:ascii="Calibri" w:hAnsi="Calibri" w:cs="Calibri"/>
              </w:rPr>
            </w:pPr>
            <w:r>
              <w:rPr>
                <w:rFonts w:ascii="Calibri" w:hAnsi="Calibri" w:cs="Calibri"/>
              </w:rPr>
              <w:t>X</w:t>
            </w:r>
          </w:p>
        </w:tc>
      </w:tr>
      <w:tr w:rsidRPr="00CF2E7C" w:rsidR="002F0752" w:rsidTr="20B0F52E"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F27D5A" w14:paraId="7C610354" w14:textId="4DE02FEC">
            <w:pPr>
              <w:rPr>
                <w:rFonts w:ascii="Calibri" w:hAnsi="Calibri" w:cs="Calibri"/>
              </w:rPr>
            </w:pPr>
            <w:r>
              <w:rPr>
                <w:rFonts w:ascii="Calibri" w:hAnsi="Calibri" w:cs="Calibri"/>
              </w:rPr>
              <w:t>X</w:t>
            </w:r>
          </w:p>
        </w:tc>
      </w:tr>
      <w:tr w:rsidRPr="00CF2E7C" w:rsidR="002F0752" w:rsidTr="20B0F52E"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F27D5A" w14:paraId="1E72B1C5" w14:textId="2C9B42DB">
            <w:pPr>
              <w:rPr>
                <w:rFonts w:ascii="Calibri" w:hAnsi="Calibri" w:cs="Calibri"/>
              </w:rPr>
            </w:pPr>
            <w:r>
              <w:rPr>
                <w:rFonts w:ascii="Calibri" w:hAnsi="Calibri" w:cs="Calibri"/>
              </w:rPr>
              <w:t>X</w:t>
            </w:r>
          </w:p>
        </w:tc>
      </w:tr>
      <w:tr w:rsidRPr="00CF2E7C" w:rsidR="002F0752" w:rsidTr="20B0F52E"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F27D5A" w14:paraId="55B4EF23" w14:textId="5B60A865">
            <w:pPr>
              <w:rPr>
                <w:rFonts w:ascii="Calibri" w:hAnsi="Calibri" w:cs="Calibri"/>
              </w:rPr>
            </w:pPr>
            <w:r>
              <w:rPr>
                <w:rFonts w:ascii="Calibri" w:hAnsi="Calibri" w:cs="Calibri"/>
              </w:rPr>
              <w:t>X</w:t>
            </w:r>
          </w:p>
        </w:tc>
      </w:tr>
      <w:tr w:rsidRPr="00CF2E7C" w:rsidR="002F0752" w:rsidTr="20B0F52E"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F27D5A" w14:paraId="1C450C54" w14:textId="2629068E">
            <w:pPr>
              <w:rPr>
                <w:rFonts w:ascii="Calibri" w:hAnsi="Calibri" w:cs="Calibri"/>
              </w:rPr>
            </w:pPr>
            <w:r>
              <w:rPr>
                <w:rFonts w:ascii="Calibri" w:hAnsi="Calibri" w:cs="Calibri"/>
              </w:rPr>
              <w:t>X</w:t>
            </w:r>
          </w:p>
        </w:tc>
      </w:tr>
      <w:tr w:rsidRPr="00CF2E7C" w:rsidR="002F0752" w:rsidTr="20B0F52E"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F27D5A" w14:paraId="6785EB79" w14:textId="0EED4397">
            <w:pPr>
              <w:rPr>
                <w:rFonts w:ascii="Calibri" w:hAnsi="Calibri" w:cs="Calibri"/>
              </w:rPr>
            </w:pPr>
            <w:r>
              <w:rPr>
                <w:rFonts w:ascii="Calibri" w:hAnsi="Calibri" w:cs="Calibri"/>
              </w:rPr>
              <w:t>X</w:t>
            </w:r>
          </w:p>
        </w:tc>
      </w:tr>
      <w:tr w:rsidRPr="00CF2E7C" w:rsidR="002F0752" w:rsidTr="20B0F52E"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F27D5A" w14:paraId="4BF53E2D" w14:textId="3F46AEB4">
            <w:pPr>
              <w:rPr>
                <w:rFonts w:ascii="Calibri" w:hAnsi="Calibri" w:cs="Calibri"/>
              </w:rPr>
            </w:pPr>
            <w:r>
              <w:rPr>
                <w:rFonts w:ascii="Calibri" w:hAnsi="Calibri" w:cs="Calibri"/>
              </w:rPr>
              <w:t>X</w:t>
            </w:r>
          </w:p>
        </w:tc>
      </w:tr>
      <w:tr w:rsidRPr="00CF2E7C" w:rsidR="002F0752" w:rsidTr="20B0F52E"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F27D5A" w14:paraId="4E759827" w14:textId="15A907BC">
            <w:pPr>
              <w:rPr>
                <w:rFonts w:ascii="Calibri" w:hAnsi="Calibri" w:cs="Calibri"/>
              </w:rPr>
            </w:pPr>
            <w:r>
              <w:rPr>
                <w:rFonts w:ascii="Calibri" w:hAnsi="Calibri" w:cs="Calibri"/>
              </w:rPr>
              <w:t>X</w:t>
            </w:r>
          </w:p>
        </w:tc>
      </w:tr>
      <w:tr w:rsidRPr="00CF2E7C" w:rsidR="002F0752" w:rsidTr="20B0F52E"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20B0F52E"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20B0F52E"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20B0F52E"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84069D" w14:paraId="4F753F56" w14:textId="3224F219">
            <w:pPr>
              <w:rPr>
                <w:rFonts w:ascii="Calibri" w:hAnsi="Calibri" w:cs="Calibri"/>
              </w:rPr>
            </w:pPr>
            <w:r w:rsidRPr="0084069D">
              <w:rPr>
                <w:rFonts w:ascii="Calibri" w:hAnsi="Calibri" w:cs="Calibri"/>
              </w:rPr>
              <w:t>The policy is aimed only at exploration permit holders and hydrocarbon exploitation concessionaires, i.e. companies that carry out oil and gas exploration and exploitation activities, within the “Mining and quarrying” sector. It does not cover other economic sectors.</w:t>
            </w:r>
          </w:p>
        </w:tc>
      </w:tr>
      <w:tr w:rsidRPr="00CF2E7C" w:rsidR="002F0752" w:rsidTr="20B0F52E"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20B0F52E"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20B0F52E"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20B0F52E"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EB7FED" w:rsidR="002F0752" w:rsidTr="20B0F52E"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20B0F52E"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20B0F52E"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20B0F52E"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20B0F52E"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20B0F52E"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1D62B3" w14:paraId="4367B187" w14:textId="13A67F5B">
            <w:pPr>
              <w:rPr>
                <w:rFonts w:ascii="Calibri" w:hAnsi="Calibri" w:cs="Calibri"/>
              </w:rPr>
            </w:pPr>
            <w:r>
              <w:rPr>
                <w:rFonts w:ascii="Calibri" w:hAnsi="Calibri" w:cs="Calibri"/>
              </w:rPr>
              <w:t>X</w:t>
            </w:r>
          </w:p>
        </w:tc>
      </w:tr>
      <w:tr w:rsidRPr="00CF2E7C" w:rsidR="002F0752" w:rsidTr="20B0F52E"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20B0F52E"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20B0F52E"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0B0F52E"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20B0F52E"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20B0F52E"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20B0F52E"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20B0F52E"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20B0F52E"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20B0F52E"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20B0F52E"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20B0F52E"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20B0F52E"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8F4D43" w14:paraId="4C0937BD" w14:textId="46A09F28">
            <w:pPr>
              <w:rPr>
                <w:rFonts w:ascii="Calibri" w:hAnsi="Calibri" w:cs="Calibri"/>
              </w:rPr>
            </w:pPr>
            <w:r>
              <w:rPr>
                <w:rFonts w:ascii="Calibri" w:hAnsi="Calibri" w:cs="Calibri"/>
              </w:rPr>
              <w:t>X</w:t>
            </w:r>
          </w:p>
        </w:tc>
      </w:tr>
      <w:tr w:rsidRPr="00CF2E7C" w:rsidR="002F0752" w:rsidTr="20B0F52E"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20B0F52E"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20B0F52E"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0B0F52E"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20B0F52E"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0B0F52E"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20B0F52E"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20B0F52E"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0B0F52E"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20B0F52E"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0B0F52E"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830E62" w14:paraId="40A5EE0A" w14:textId="6F13CCCB">
            <w:pPr>
              <w:rPr>
                <w:rFonts w:ascii="Calibri" w:hAnsi="Calibri" w:cs="Calibri"/>
              </w:rPr>
            </w:pPr>
            <w:r w:rsidRPr="20B0F52E" w:rsidR="377BAB08">
              <w:rPr>
                <w:rFonts w:ascii="Calibri" w:hAnsi="Calibri" w:cs="Calibri"/>
              </w:rPr>
              <w:t>X</w:t>
            </w:r>
          </w:p>
        </w:tc>
      </w:tr>
      <w:tr w:rsidRPr="00CF2E7C" w:rsidR="002F0752" w:rsidTr="20B0F52E"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20B0F52E"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0B0F52E"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20B0F52E"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0B0F52E"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830E62" w14:paraId="261CD08A" w14:textId="6D7F875B">
            <w:pPr>
              <w:rPr>
                <w:rFonts w:ascii="Calibri" w:hAnsi="Calibri" w:cs="Calibri"/>
              </w:rPr>
            </w:pPr>
            <w:r w:rsidRPr="20B0F52E" w:rsidR="377BAB08">
              <w:rPr>
                <w:rFonts w:ascii="Calibri" w:hAnsi="Calibri" w:cs="Calibri"/>
              </w:rPr>
              <w:t>X</w:t>
            </w:r>
          </w:p>
        </w:tc>
      </w:tr>
      <w:tr w:rsidRPr="00CF2E7C" w:rsidR="002F0752" w:rsidTr="20B0F52E"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20B0F52E"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20B0F52E"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8"/>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5E3820" w14:paraId="437547AD" w14:textId="21CC4E1C">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9"/>
      <w:r>
        <w:rPr>
          <w:rFonts w:eastAsia="Arial"/>
        </w:rPr>
        <w:lastRenderedPageBreak/>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0EC3" w14:paraId="376851D2" w14:textId="75804F9B">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0EC3" w14:paraId="03D8CEB8" w14:textId="567AEB0A">
            <w:pPr>
              <w:rPr>
                <w:rFonts w:ascii="Calibri" w:hAnsi="Calibri" w:cs="Calibri"/>
              </w:rPr>
            </w:pPr>
            <w:r>
              <w:rPr>
                <w:rFonts w:ascii="Calibri" w:hAnsi="Calibri" w:cs="Calibri"/>
              </w:rPr>
              <w:t>X</w:t>
            </w: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0EC3" w14:paraId="25A44A1F" w14:textId="4497B088">
            <w:pPr>
              <w:rPr>
                <w:rFonts w:ascii="Calibri" w:hAnsi="Calibri" w:cs="Calibri"/>
              </w:rPr>
            </w:pPr>
            <w:r>
              <w:rPr>
                <w:rFonts w:ascii="Calibri" w:hAnsi="Calibri" w:cs="Calibri"/>
              </w:rPr>
              <w:t>X</w:t>
            </w: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0EC3" w14:paraId="05426709" w14:textId="0A5C1957">
            <w:pPr>
              <w:rPr>
                <w:rFonts w:ascii="Calibri" w:hAnsi="Calibri" w:cs="Calibri"/>
              </w:rPr>
            </w:pPr>
            <w:r>
              <w:rPr>
                <w:rFonts w:ascii="Calibri" w:hAnsi="Calibri" w:cs="Calibri"/>
              </w:rPr>
              <w:t>X</w:t>
            </w: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0EC3" w14:paraId="000D030B" w14:textId="6A30E4F0">
            <w:pPr>
              <w:rPr>
                <w:rFonts w:ascii="Calibri" w:hAnsi="Calibri" w:cs="Calibri"/>
              </w:rPr>
            </w:pPr>
            <w:r>
              <w:rPr>
                <w:rFonts w:ascii="Calibri" w:hAnsi="Calibri" w:cs="Calibri"/>
              </w:rPr>
              <w:t>X</w:t>
            </w: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0EC3" w14:paraId="2184636A" w14:textId="10716B5F">
            <w:pPr>
              <w:rPr>
                <w:rFonts w:ascii="Calibri" w:hAnsi="Calibri" w:cs="Calibri"/>
              </w:rPr>
            </w:pPr>
            <w:r>
              <w:rPr>
                <w:rFonts w:ascii="Calibri" w:hAnsi="Calibri" w:cs="Calibri"/>
              </w:rPr>
              <w:t>X</w:t>
            </w: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60"/>
      <w:r>
        <w:rPr>
          <w:rFonts w:eastAsia="Arial"/>
        </w:rPr>
        <w:t xml:space="preserve">Section 6.4: </w:t>
      </w:r>
      <w:r w:rsidRPr="26567C6B">
        <w:rPr>
          <w:rFonts w:eastAsia="Arial"/>
        </w:rPr>
        <w:t>Source-specific rules</w:t>
      </w:r>
      <w:bookmarkEnd w:id="60"/>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8E480E" w14:paraId="56A8B411" w14:textId="390B7ED3">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61"/>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940DE7" w14:paraId="470AF9EF" w14:textId="7F38E06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9B44F6" w14:paraId="07FA58B1" w14:textId="709C327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9B44F6" w14:paraId="36CD030C" w14:textId="7365887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9B44F6" w14:paraId="1DFFB1C7" w14:textId="1930FB8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9B44F6" w14:paraId="18AEA381" w14:textId="072D0EE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9B44F6" w14:paraId="14F5C172" w14:textId="66A09C1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9B44F6" w14:paraId="30712F60" w14:textId="3A91DE3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E0611" w14:paraId="4D92B459" w14:textId="7403DFF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E0611" w14:paraId="75BABCB8" w14:textId="53B4C89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E0611" w14:paraId="7EA03D20" w14:textId="5981623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E0611" w14:paraId="748E50D1" w14:textId="53A0B0E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E0611" w14:paraId="4897E488" w14:textId="56AEF26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E0611" w14:paraId="5D73AB41" w14:textId="1096D9A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EE0611" w14:paraId="7D506ACD" w14:textId="13F64BD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EE0611" w14:paraId="5D85688B" w14:textId="6AC8496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53523C" w14:paraId="1EBEDA30" w14:textId="008C85D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53523C" w14:paraId="30DC7ABF" w14:textId="29F777D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53523C" w14:paraId="52EDD71D" w14:textId="15BDAB8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53523C" w14:paraId="63D17F82" w14:textId="286959E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53523C" w14:paraId="68605C5A" w14:textId="6CA9DF0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53523C" w14:paraId="3C18BE44" w14:textId="4BDEAA6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776EEB" w14:paraId="6EA8E263" w14:textId="7D44453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776EEB" w14:paraId="01A494EF" w14:textId="3F2181A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776EEB" w14:paraId="249AB5ED" w14:textId="03773EE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776EEB" w14:paraId="64B96363" w14:textId="10B4107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776EEB" w14:paraId="1D424DDE" w14:textId="66E846B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53DFE6AD" w14:textId="77EE0876">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2BD74CF2" w14:textId="01C78E3B">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7376823E" w14:textId="5FA82E8B">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3EE4C822" w14:textId="520E84C8">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098E3041" w14:textId="1208C7EC">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1A9CA965" w14:textId="75EA655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776EEB" w14:paraId="3650209D" w14:textId="3C3F0583">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82536D" w14:paraId="06AB5301" w14:textId="5F31F53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82536D" w14:paraId="26A18091" w14:textId="1A9A5E9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82536D" w14:paraId="3C8D2C0B" w14:textId="2F2C4FA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82536D" w14:paraId="0FCD106D" w14:textId="51F8905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82536D" w14:paraId="5F8505C9" w14:textId="47C6F95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82536D" w14:paraId="2D3B9EB7" w14:textId="3757F88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82536D" w14:paraId="0FC88198" w14:textId="44E6849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BA5768" w14:paraId="27F601C9" w14:textId="7214E99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BA5768" w14:paraId="287A41BD" w14:textId="2752B15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BA5768" w14:paraId="15C1532C" w14:textId="2A6AC60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BA5768" w14:paraId="4B619A2D" w14:textId="5D3AD4F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BA5768" w14:paraId="47FE32D7" w14:textId="35085E2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BA5768" w14:paraId="76ACA301" w14:textId="1D10928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2"/>
      <w:r>
        <w:rPr>
          <w:rFonts w:eastAsia="Arial"/>
        </w:rPr>
        <w:t>6.</w:t>
      </w:r>
      <w:r w:rsidRPr="26567C6B">
        <w:rPr>
          <w:rFonts w:eastAsia="Arial"/>
        </w:rPr>
        <w:t>4.2 Coal-Related Methane Emissions</w:t>
      </w:r>
      <w:bookmarkEnd w:id="62"/>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3"/>
      <w:r>
        <w:rPr>
          <w:rFonts w:eastAsia="Arial"/>
        </w:rPr>
        <w:t>6.</w:t>
      </w:r>
      <w:r w:rsidRPr="26567C6B">
        <w:rPr>
          <w:rFonts w:eastAsia="Arial"/>
        </w:rPr>
        <w:t>4.3 Agriculture-Related Methane Emissions</w:t>
      </w:r>
      <w:bookmarkEnd w:id="63"/>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4"/>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1A844343" w14:textId="24680FC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755A8D73" w14:textId="4732578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10D91B5E" w14:textId="7155ABA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528970F4" w14:textId="7EA6903C">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1881BB53" w14:textId="56F84FF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1DD2AA30" w14:textId="0F1FE46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2262C20B" w14:textId="55896BE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535EDD49" w14:textId="13FD50C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491CD515" w14:textId="78102C7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21A321E3" w14:textId="1F87CDF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2AF27387" w14:textId="37F46D3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30DAC8EB" w14:textId="370FC36F">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3760A767" w14:textId="72C93FFB">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0B7CF0D0" w14:textId="2DA8650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102B2DA4" w14:textId="3038F6D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0FF2EF88" w14:textId="1462778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36F5772B" w14:textId="208FBB8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582E2558" w14:textId="4519E2D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5F60B680" w14:textId="0D201FCF">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155E519F" w14:textId="2471098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74098" w14:paraId="76E93A3F" w14:textId="1F87B59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C245E8" w14:paraId="216F1CD0" w14:textId="0816C08D">
            <w:pPr>
              <w:rPr>
                <w:rFonts w:ascii="Calibri" w:hAnsi="Calibri" w:cs="Calibri"/>
              </w:rPr>
            </w:pPr>
            <w:r>
              <w:rPr>
                <w:rFonts w:ascii="Calibri" w:hAnsi="Calibri" w:cs="Calibri"/>
              </w:rPr>
              <w:t>American Petroleum Institute (API) Regulations</w:t>
            </w: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5C7B54" w14:paraId="06CAAD24" w14:textId="65441EC4">
            <w:pPr>
              <w:rPr>
                <w:rFonts w:ascii="Calibri" w:hAnsi="Calibri" w:eastAsia="Times New Roman" w:cs="Calibri"/>
                <w:kern w:val="0"/>
                <w:lang w:eastAsia="en-GB"/>
                <w14:ligatures w14:val="none"/>
              </w:rPr>
            </w:pPr>
            <w:r>
              <w:t>The policy tool</w:t>
            </w:r>
            <w:r>
              <w:t xml:space="preserve"> is entirely focused on technical procedures, categorization, scheduling and reporting for the temporary and definitive abandonment of hydrocarbon wells (P&amp;A), and does not address greenhouse-gas accounting, emissions-intensity targets, or border-adjustment measures.</w:t>
            </w:r>
          </w:p>
        </w:tc>
      </w:tr>
    </w:tbl>
    <w:p w:rsidR="33822AF7" w:rsidP="002F5320" w:rsidRDefault="33822AF7" w14:paraId="2AF280E9" w14:textId="49977F7C">
      <w:pPr>
        <w:shd w:val="clear" w:color="auto" w:fill="FFFFFF" w:themeFill="background1"/>
      </w:pPr>
    </w:p>
    <w:sectPr w:rsidR="33822AF7" w:rsidSect="00E20574">
      <w:headerReference w:type="default" r:id="rId23"/>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F351A" w:rsidP="00874E39" w:rsidRDefault="008F351A" w14:paraId="76C09ACD" w14:textId="77777777">
      <w:r>
        <w:separator/>
      </w:r>
    </w:p>
  </w:endnote>
  <w:endnote w:type="continuationSeparator" w:id="0">
    <w:p w:rsidR="008F351A" w:rsidP="00874E39" w:rsidRDefault="008F351A" w14:paraId="4DA7F08F" w14:textId="77777777">
      <w:r>
        <w:continuationSeparator/>
      </w:r>
    </w:p>
  </w:endnote>
  <w:endnote w:type="continuationNotice" w:id="1">
    <w:p w:rsidR="008F351A" w:rsidRDefault="008F351A" w14:paraId="1156FC0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0627A472"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F351A" w:rsidP="00874E39" w:rsidRDefault="008F351A" w14:paraId="54B3C602" w14:textId="77777777">
      <w:r>
        <w:separator/>
      </w:r>
    </w:p>
  </w:footnote>
  <w:footnote w:type="continuationSeparator" w:id="0">
    <w:p w:rsidR="008F351A" w:rsidP="00874E39" w:rsidRDefault="008F351A" w14:paraId="58BC1B02" w14:textId="77777777">
      <w:r>
        <w:continuationSeparator/>
      </w:r>
    </w:p>
  </w:footnote>
  <w:footnote w:type="continuationNotice" w:id="1">
    <w:p w:rsidR="008F351A" w:rsidRDefault="008F351A" w14:paraId="14B19BE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098"/>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428"/>
    <w:rsid w:val="001D36D7"/>
    <w:rsid w:val="001D374C"/>
    <w:rsid w:val="001D5DD2"/>
    <w:rsid w:val="001D5F78"/>
    <w:rsid w:val="001D62B3"/>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DED"/>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0EC3"/>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191"/>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9E9"/>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FC6"/>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4F9E"/>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23C"/>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E3D"/>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B54"/>
    <w:rsid w:val="005C7DF6"/>
    <w:rsid w:val="005D02C9"/>
    <w:rsid w:val="005D0D83"/>
    <w:rsid w:val="005D55BE"/>
    <w:rsid w:val="005D7CD4"/>
    <w:rsid w:val="005E0296"/>
    <w:rsid w:val="005E264E"/>
    <w:rsid w:val="005E2F27"/>
    <w:rsid w:val="005E3820"/>
    <w:rsid w:val="005E50FD"/>
    <w:rsid w:val="005E603A"/>
    <w:rsid w:val="005E62F9"/>
    <w:rsid w:val="005E6D04"/>
    <w:rsid w:val="005E78BA"/>
    <w:rsid w:val="005F0524"/>
    <w:rsid w:val="005F1EF0"/>
    <w:rsid w:val="005F2454"/>
    <w:rsid w:val="005F2B91"/>
    <w:rsid w:val="005F2D73"/>
    <w:rsid w:val="005F2DC8"/>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EE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36D"/>
    <w:rsid w:val="0082674B"/>
    <w:rsid w:val="008273C0"/>
    <w:rsid w:val="008279D8"/>
    <w:rsid w:val="00830E62"/>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69D"/>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80E"/>
    <w:rsid w:val="008E4B2E"/>
    <w:rsid w:val="008E540F"/>
    <w:rsid w:val="008E55CB"/>
    <w:rsid w:val="008E59EB"/>
    <w:rsid w:val="008E6AE1"/>
    <w:rsid w:val="008E760C"/>
    <w:rsid w:val="008F27A6"/>
    <w:rsid w:val="008F31B3"/>
    <w:rsid w:val="008F32F0"/>
    <w:rsid w:val="008F351A"/>
    <w:rsid w:val="008F4D43"/>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DE7"/>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4F6"/>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6F2D"/>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A"/>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7FD4"/>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768"/>
    <w:rsid w:val="00BA5A30"/>
    <w:rsid w:val="00BA6260"/>
    <w:rsid w:val="00BA62BE"/>
    <w:rsid w:val="00BA6901"/>
    <w:rsid w:val="00BA72DC"/>
    <w:rsid w:val="00BA76F5"/>
    <w:rsid w:val="00BA7960"/>
    <w:rsid w:val="00BA7F63"/>
    <w:rsid w:val="00BB017D"/>
    <w:rsid w:val="00BB06EF"/>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2ED"/>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5E8"/>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CC2"/>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2FB7"/>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FAA"/>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022"/>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698"/>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E00"/>
    <w:rsid w:val="00ED34A7"/>
    <w:rsid w:val="00ED6FE1"/>
    <w:rsid w:val="00ED77B0"/>
    <w:rsid w:val="00ED7E12"/>
    <w:rsid w:val="00EE04F1"/>
    <w:rsid w:val="00EE061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686"/>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27D5A"/>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0F52E"/>
    <w:rsid w:val="20BDFB95"/>
    <w:rsid w:val="20C10829"/>
    <w:rsid w:val="20CF1FBE"/>
    <w:rsid w:val="2116A107"/>
    <w:rsid w:val="212B2D01"/>
    <w:rsid w:val="217EAE3F"/>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62D6AD"/>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7BAB08"/>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9F65D89"/>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9926912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microsoft.com/office/2016/09/relationships/commentsIds" Target="commentsIds.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microsoft.com/office/2011/relationships/people" Target="people.xml" Id="rId25" /><Relationship Type="http://schemas.openxmlformats.org/officeDocument/2006/relationships/customXml" Target="../customXml/item2.xml" Id="rId2" /><Relationship Type="http://schemas.openxmlformats.org/officeDocument/2006/relationships/footer" Target="footer3.xml" Id="rId16" /><Relationship Type="http://schemas.microsoft.com/office/2011/relationships/commentsExtended" Target="commentsExtended.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eader" Target="header2.xml" Id="rId23"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9/05/relationships/documenttasks" Target="documenttasks/documenttasks1.xml" Id="rId27" /><Relationship Type="http://schemas.openxmlformats.org/officeDocument/2006/relationships/hyperlink" Target="https://web.archive.org/web/20250701182710/https://www.argentina.gob.ar/normativa/nacional/resoluci&#243;n-5-1996-31996/texto" TargetMode="External" Id="R60d7bd6dd8594b5d"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documenttasks/documenttasks1.xml><?xml version="1.0" encoding="utf-8"?>
<t:Tasks xmlns:t="http://schemas.microsoft.com/office/tasks/2019/documenttasks" xmlns:oel="http://schemas.microsoft.com/office/2019/extlst">
  <t:Task id="{37039A48-1CCD-E84A-8E20-44451D51B4B3}">
    <t:Anchor>
      <t:Comment id="998467288"/>
    </t:Anchor>
    <t:History>
      <t:Event id="{0B3ABCF0-65A1-904A-A212-38BCE554A437}" time="2025-07-01T19:13:56.612Z">
        <t:Attribution userId="S::fmarcelli@beccarvarela.com::39e47ff5-e4fb-4ac9-ad82-f4a7e957c25b" userProvider="AD" userName="Florencia Marcelli"/>
        <t:Anchor>
          <t:Comment id="998467288"/>
        </t:Anchor>
        <t:Create/>
      </t:Event>
      <t:Event id="{20DAC2A6-7C42-5448-830C-8D6E1F24A5BF}" time="2025-07-01T19:13:56.612Z">
        <t:Attribution userId="S::fmarcelli@beccarvarela.com::39e47ff5-e4fb-4ac9-ad82-f4a7e957c25b" userProvider="AD" userName="Florencia Marcelli"/>
        <t:Anchor>
          <t:Comment id="998467288"/>
        </t:Anchor>
        <t:Assign userId="S::mfravega@beccarvarela.com::6a6538e4-ab5e-4045-8c0a-0c526e21d7d9" userProvider="AD" userName="Manuel Frávega"/>
      </t:Event>
      <t:Event id="{DC18E2FB-6C23-654D-A199-304562ED4B50}" time="2025-07-01T19:13:56.612Z">
        <t:Attribution userId="S::fmarcelli@beccarvarela.com::39e47ff5-e4fb-4ac9-ad82-f4a7e957c25b" userProvider="AD" userName="Florencia Marcelli"/>
        <t:Anchor>
          <t:Comment id="998467288"/>
        </t:Anchor>
        <t:SetTitle title="@Manuel Frávega por favor confirma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ED8548-0260-4CA5-BE16-36B14662B271}"/>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 ds:uri="b52eb706-a9b7-4441-b432-24bdc119c495"/>
    <ds:schemaRef ds:uri="860fd844-3fbd-4b23-8e78-b7b4d9b2c3b1"/>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37</cp:revision>
  <cp:lastPrinted>2025-03-21T00:14:00Z</cp:lastPrinted>
  <dcterms:created xsi:type="dcterms:W3CDTF">2025-05-19T11:37:00Z</dcterms:created>
  <dcterms:modified xsi:type="dcterms:W3CDTF">2025-07-07T19:30:05Z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